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1134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Pr>
                <w:rFonts w:asciiTheme="majorHAnsi" w:hAnsiTheme="majorHAnsi" w:cs="Arial"/>
                <w:b/>
                <w:sz w:val="18"/>
                <w:szCs w:val="18"/>
              </w:rPr>
              <w:t>Stereochemistry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1342F">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1342F">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812F97">
                    <w:rPr>
                      <w:rFonts w:asciiTheme="majorHAnsi" w:hAnsiTheme="majorHAnsi" w:cs="Arial"/>
                      <w:b/>
                      <w:sz w:val="18"/>
                      <w:szCs w:val="18"/>
                    </w:rPr>
                  </w:r>
                  <w:r w:rsidR="00812F97">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sidRPr="0011342F">
              <w:rPr>
                <w:rFonts w:asciiTheme="majorHAnsi" w:hAnsiTheme="majorHAnsi" w:cs="Arial"/>
                <w:b/>
                <w:sz w:val="18"/>
                <w:szCs w:val="18"/>
              </w:rPr>
              <w:t xml:space="preserve"> Students I cycle at the Faculty of Natural Sciences and Mathematics – Department of Chemistry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1342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1342F">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1342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1342F">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Pr>
                <w:rFonts w:asciiTheme="majorHAnsi" w:hAnsiTheme="majorHAnsi" w:cs="Arial"/>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1342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Pr>
                <w:rFonts w:asciiTheme="majorHAnsi" w:hAnsiTheme="majorHAnsi" w:cs="Arial"/>
                <w:b/>
                <w:sz w:val="18"/>
                <w:szCs w:val="18"/>
              </w:rPr>
              <w:t>64,58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1342F">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134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Pr>
                <w:rFonts w:asciiTheme="majorHAnsi" w:hAnsiTheme="majorHAnsi" w:cs="Arial"/>
                <w:b/>
                <w:sz w:val="18"/>
                <w:szCs w:val="18"/>
              </w:rPr>
              <w:t>109,58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1342F" w:rsidRPr="0011342F">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sidRPr="0011342F">
              <w:rPr>
                <w:rFonts w:asciiTheme="majorHAnsi" w:hAnsiTheme="majorHAnsi" w:cs="Arial"/>
                <w:b/>
                <w:sz w:val="18"/>
                <w:szCs w:val="18"/>
              </w:rPr>
              <w:t xml:space="preserve"> Chemistry / study tracks: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1342F" w:rsidRPr="0011342F">
              <w:rPr>
                <w:rFonts w:asciiTheme="majorHAnsi" w:hAnsiTheme="majorHAnsi" w:cs="Arial"/>
                <w:b/>
                <w:sz w:val="18"/>
                <w:szCs w:val="18"/>
              </w:rPr>
              <w:t xml:space="preserve"> Melita Huremović,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sidRPr="0011342F">
              <w:rPr>
                <w:rFonts w:asciiTheme="majorHAnsi" w:hAnsiTheme="majorHAnsi" w:cs="Arial"/>
                <w:b/>
                <w:sz w:val="18"/>
                <w:szCs w:val="18"/>
              </w:rPr>
              <w:t xml:space="preserve">The course will familiarize students with the three-dimensional structures of molecules and their influence on chemical and physical properties, as well as on the course and rate of chemical reactions, and with the significance of modern stereochemical nomenclature, symmetry operations, and symmetry elements. Following the introduction of the </w:t>
            </w:r>
            <w:r w:rsidR="0011342F" w:rsidRPr="0011342F">
              <w:rPr>
                <w:rFonts w:asciiTheme="majorHAnsi" w:hAnsiTheme="majorHAnsi" w:cs="Arial"/>
                <w:b/>
                <w:sz w:val="18"/>
                <w:szCs w:val="18"/>
              </w:rPr>
              <w:lastRenderedPageBreak/>
              <w:t>fundamental concepts of stereochemistry, special emphasis will be placed on dynamic stereochemistry, stereoselective and stereospecific reactions, kinetic and thermodynamic control of reactions, and asymmetric synthesis, particularly in view of the relationship between the optical activity of compounds and their biological activity. Students will also gain an understanding of the importance of introducing chirality into molecules in order to enhance the overall efficiency of synthesis, as well as of the methods used for the separation of enantiomers.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sidRPr="0011342F">
              <w:rPr>
                <w:rFonts w:asciiTheme="majorHAnsi" w:hAnsiTheme="majorHAnsi" w:cs="Arial"/>
                <w:b/>
                <w:sz w:val="18"/>
                <w:szCs w:val="18"/>
              </w:rPr>
              <w:t>Upon successful completion of the examination, students are expected to be able to explain the stereochemical aspects of organic molecules, interpret reaction pathways from a stereochemical perspective, and describe the influence of the stereochemistry of reactant and product molecules on the physical and chemical properties of compounds, as well as on the course and rate of chemical reactions, and to apply the acquired knowledge to other areas of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sidRPr="0011342F">
              <w:rPr>
                <w:rFonts w:asciiTheme="majorHAnsi" w:hAnsiTheme="majorHAnsi" w:cs="Arial"/>
                <w:b/>
                <w:sz w:val="18"/>
                <w:szCs w:val="18"/>
              </w:rPr>
              <w:t>Introduction to stereochemistry (static and dynamic stereochemistry). Factors affecting the configuration, shape, and dimensions of molecules. Chirality and optical activity. Conformations, enantiomerism, and diastereomerism. Stereochemical nomenclature. Racemic modifications. Conformation of acyclic compounds (prochirality, atropisomerism). Determination of optical purity. Methods for the separation of enantiomers. Stereoisomerism of unsaturated compounds containing a carbon–carbon double bond (restricted rotation about the double bond). Dynamic stereochemistry. Stereoselectivity and stereospecificity. Stereochemistry of reactions: substitution, addition, and elimination. Stereochemistry of cycloaddition reactions and other specific reactions.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1342F" w:rsidRPr="0011342F" w:rsidRDefault="006D5B9B" w:rsidP="001134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sidRPr="0011342F">
              <w:rPr>
                <w:rFonts w:asciiTheme="majorHAnsi" w:hAnsiTheme="majorHAnsi" w:cs="Arial"/>
                <w:b/>
                <w:sz w:val="18"/>
                <w:szCs w:val="18"/>
              </w:rPr>
              <w:t>In order to ensure effective course delivery and the achievement of the expected course objectives and student competencies by the end of the semester, the following teaching methods are employed:</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w:t>
            </w:r>
            <w:r w:rsidRPr="0011342F">
              <w:rPr>
                <w:rFonts w:asciiTheme="majorHAnsi" w:hAnsiTheme="majorHAnsi" w:cs="Arial"/>
                <w:b/>
                <w:sz w:val="18"/>
                <w:szCs w:val="18"/>
              </w:rPr>
              <w:tab/>
              <w:t>lectures (L) supported by multimedia tools, active learning techniques, and the active participation of students;</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w:t>
            </w:r>
            <w:r w:rsidRPr="0011342F">
              <w:rPr>
                <w:rFonts w:asciiTheme="majorHAnsi" w:hAnsiTheme="majorHAnsi" w:cs="Arial"/>
                <w:b/>
                <w:sz w:val="18"/>
                <w:szCs w:val="18"/>
              </w:rPr>
              <w:tab/>
              <w:t>individual seminar papers;</w:t>
            </w:r>
          </w:p>
          <w:p w:rsidR="00CB72ED" w:rsidRPr="00B96B4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w:t>
            </w:r>
            <w:r w:rsidRPr="0011342F">
              <w:rPr>
                <w:rFonts w:asciiTheme="majorHAnsi" w:hAnsiTheme="majorHAnsi" w:cs="Arial"/>
                <w:b/>
                <w:sz w:val="18"/>
                <w:szCs w:val="18"/>
              </w:rPr>
              <w:tab/>
              <w:t>consultations.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sidRPr="0011342F">
              <w:rPr>
                <w:rFonts w:asciiTheme="majorHAnsi" w:hAnsiTheme="majorHAnsi" w:cs="Arial"/>
                <w:b/>
                <w:sz w:val="18"/>
                <w:szCs w:val="18"/>
              </w:rPr>
              <w:t>Lectures and practical classes are conducted with the use of software for chemists that facilitates an understanding of the relationship between the three-dimensional nature of structure and stereochemical aspects. Students are required to attend lectures and actively participate in all segments of the teaching process. During the practical classes, students will solve problems related to the lecture material; as part of the seminar assignment, an individual student or a group of students prepares a paper on an assigned topic, with the active participation of all students in the discussion.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1342F" w:rsidRPr="0011342F" w:rsidRDefault="006D5B9B" w:rsidP="001134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1342F" w:rsidRPr="0011342F">
              <w:rPr>
                <w:rFonts w:asciiTheme="majorHAnsi" w:hAnsiTheme="majorHAnsi" w:cs="Arial"/>
                <w:b/>
                <w:sz w:val="18"/>
                <w:szCs w:val="18"/>
              </w:rPr>
              <w:t>Assessment criteria</w:t>
            </w:r>
            <w:r w:rsidR="0011342F" w:rsidRPr="0011342F">
              <w:rPr>
                <w:rFonts w:asciiTheme="majorHAnsi" w:hAnsiTheme="majorHAnsi" w:cs="Arial"/>
                <w:b/>
                <w:sz w:val="18"/>
                <w:szCs w:val="18"/>
              </w:rPr>
              <w:tab/>
              <w:t>Maximum number of points</w:t>
            </w:r>
            <w:r w:rsidR="0011342F" w:rsidRPr="0011342F">
              <w:rPr>
                <w:rFonts w:asciiTheme="majorHAnsi" w:hAnsiTheme="majorHAnsi" w:cs="Arial"/>
                <w:b/>
                <w:sz w:val="18"/>
                <w:szCs w:val="18"/>
              </w:rPr>
              <w:tab/>
              <w:t>Minimum passing points</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Class participation</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10</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7</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Final examination</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30</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15</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Tests</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50</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26</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Seminar paper</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10</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7</w:t>
            </w:r>
          </w:p>
          <w:p w:rsid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Total</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100</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55</w:t>
            </w:r>
          </w:p>
          <w:p w:rsidR="005803EA" w:rsidRPr="0011342F" w:rsidRDefault="005803EA" w:rsidP="0011342F">
            <w:pPr>
              <w:pStyle w:val="NoSpacing"/>
              <w:rPr>
                <w:rFonts w:asciiTheme="majorHAnsi" w:hAnsiTheme="majorHAnsi" w:cs="Arial"/>
                <w:b/>
                <w:sz w:val="18"/>
                <w:szCs w:val="18"/>
              </w:rPr>
            </w:pP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Points earned</w:t>
            </w:r>
            <w:r w:rsidRPr="0011342F">
              <w:rPr>
                <w:rFonts w:asciiTheme="majorHAnsi" w:hAnsiTheme="majorHAnsi" w:cs="Arial"/>
                <w:b/>
                <w:sz w:val="18"/>
                <w:szCs w:val="18"/>
              </w:rPr>
              <w:tab/>
              <w:t>Grade</w:t>
            </w:r>
            <w:r w:rsidRPr="0011342F">
              <w:rPr>
                <w:rFonts w:asciiTheme="majorHAnsi" w:hAnsiTheme="majorHAnsi" w:cs="Arial"/>
                <w:b/>
                <w:sz w:val="18"/>
                <w:szCs w:val="18"/>
              </w:rPr>
              <w:tab/>
              <w:t>ECTS grade</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0–54</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5</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F</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55–64</w:t>
            </w:r>
            <w:r w:rsidR="005803EA">
              <w:rPr>
                <w:rFonts w:asciiTheme="majorHAnsi" w:hAnsiTheme="majorHAnsi" w:cs="Arial"/>
                <w:b/>
                <w:sz w:val="18"/>
                <w:szCs w:val="18"/>
              </w:rPr>
              <w:t xml:space="preserve">                             </w:t>
            </w:r>
            <w:r w:rsidRPr="0011342F">
              <w:rPr>
                <w:rFonts w:asciiTheme="majorHAnsi" w:hAnsiTheme="majorHAnsi" w:cs="Arial"/>
                <w:b/>
                <w:sz w:val="18"/>
                <w:szCs w:val="18"/>
              </w:rPr>
              <w:t>6</w:t>
            </w:r>
            <w:r w:rsidR="005803EA">
              <w:rPr>
                <w:rFonts w:asciiTheme="majorHAnsi" w:hAnsiTheme="majorHAnsi" w:cs="Arial"/>
                <w:b/>
                <w:sz w:val="18"/>
                <w:szCs w:val="18"/>
              </w:rPr>
              <w:t xml:space="preserve">                     </w:t>
            </w:r>
            <w:r w:rsidRPr="0011342F">
              <w:rPr>
                <w:rFonts w:asciiTheme="majorHAnsi" w:hAnsiTheme="majorHAnsi" w:cs="Arial"/>
                <w:b/>
                <w:sz w:val="18"/>
                <w:szCs w:val="18"/>
              </w:rPr>
              <w:t>E</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65–74</w:t>
            </w:r>
            <w:r w:rsidR="005803EA">
              <w:rPr>
                <w:rFonts w:asciiTheme="majorHAnsi" w:hAnsiTheme="majorHAnsi" w:cs="Arial"/>
                <w:b/>
                <w:sz w:val="18"/>
                <w:szCs w:val="18"/>
              </w:rPr>
              <w:t xml:space="preserve">                             </w:t>
            </w:r>
            <w:r w:rsidRPr="0011342F">
              <w:rPr>
                <w:rFonts w:asciiTheme="majorHAnsi" w:hAnsiTheme="majorHAnsi" w:cs="Arial"/>
                <w:b/>
                <w:sz w:val="18"/>
                <w:szCs w:val="18"/>
              </w:rPr>
              <w:t>7</w:t>
            </w:r>
            <w:r w:rsidR="005803EA">
              <w:rPr>
                <w:rFonts w:asciiTheme="majorHAnsi" w:hAnsiTheme="majorHAnsi" w:cs="Arial"/>
                <w:b/>
                <w:sz w:val="18"/>
                <w:szCs w:val="18"/>
              </w:rPr>
              <w:t xml:space="preserve">                     </w:t>
            </w:r>
            <w:r w:rsidRPr="0011342F">
              <w:rPr>
                <w:rFonts w:asciiTheme="majorHAnsi" w:hAnsiTheme="majorHAnsi" w:cs="Arial"/>
                <w:b/>
                <w:sz w:val="18"/>
                <w:szCs w:val="18"/>
              </w:rPr>
              <w:t>D</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75–84</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8</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C</w:t>
            </w:r>
          </w:p>
          <w:p w:rsidR="0011342F" w:rsidRPr="0011342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85–94</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9</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B</w:t>
            </w:r>
          </w:p>
          <w:p w:rsidR="00CB72ED" w:rsidRPr="00B96B4F" w:rsidRDefault="0011342F" w:rsidP="0011342F">
            <w:pPr>
              <w:pStyle w:val="NoSpacing"/>
              <w:rPr>
                <w:rFonts w:asciiTheme="majorHAnsi" w:hAnsiTheme="majorHAnsi" w:cs="Arial"/>
                <w:b/>
                <w:sz w:val="18"/>
                <w:szCs w:val="18"/>
              </w:rPr>
            </w:pPr>
            <w:r w:rsidRPr="0011342F">
              <w:rPr>
                <w:rFonts w:asciiTheme="majorHAnsi" w:hAnsiTheme="majorHAnsi" w:cs="Arial"/>
                <w:b/>
                <w:sz w:val="18"/>
                <w:szCs w:val="18"/>
              </w:rPr>
              <w:t>95–100</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10</w:t>
            </w:r>
            <w:r w:rsidRPr="0011342F">
              <w:rPr>
                <w:rFonts w:asciiTheme="majorHAnsi" w:hAnsiTheme="majorHAnsi" w:cs="Arial"/>
                <w:b/>
                <w:sz w:val="18"/>
                <w:szCs w:val="18"/>
              </w:rPr>
              <w:tab/>
            </w:r>
            <w:r w:rsidR="005803EA">
              <w:rPr>
                <w:rFonts w:asciiTheme="majorHAnsi" w:hAnsiTheme="majorHAnsi" w:cs="Arial"/>
                <w:b/>
                <w:sz w:val="18"/>
                <w:szCs w:val="18"/>
              </w:rPr>
              <w:t xml:space="preserve">            </w:t>
            </w:r>
            <w:r w:rsidRPr="0011342F">
              <w:rPr>
                <w:rFonts w:asciiTheme="majorHAnsi" w:hAnsiTheme="majorHAnsi" w:cs="Arial"/>
                <w:b/>
                <w:sz w:val="18"/>
                <w:szCs w:val="18"/>
              </w:rPr>
              <w:t>A</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803EA" w:rsidRPr="005803EA" w:rsidRDefault="006D5B9B" w:rsidP="005803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803EA" w:rsidRPr="005803EA">
              <w:rPr>
                <w:rFonts w:asciiTheme="majorHAnsi" w:hAnsiTheme="majorHAnsi" w:cs="Arial"/>
                <w:b/>
                <w:sz w:val="18"/>
                <w:szCs w:val="18"/>
              </w:rPr>
              <w:t xml:space="preserve">1. G.Stojanović, Organska stereohemija, Prirodno-matematički fakultet Univerziteta u Nišu(2007 ) </w:t>
            </w:r>
          </w:p>
          <w:p w:rsidR="005803EA" w:rsidRPr="005803EA" w:rsidRDefault="005803EA" w:rsidP="005803EA">
            <w:pPr>
              <w:pStyle w:val="NoSpacing"/>
              <w:rPr>
                <w:rFonts w:asciiTheme="majorHAnsi" w:hAnsiTheme="majorHAnsi" w:cs="Arial"/>
                <w:b/>
                <w:sz w:val="18"/>
                <w:szCs w:val="18"/>
              </w:rPr>
            </w:pPr>
            <w:r w:rsidRPr="005803EA">
              <w:rPr>
                <w:rFonts w:asciiTheme="majorHAnsi" w:hAnsiTheme="majorHAnsi" w:cs="Arial"/>
                <w:b/>
                <w:sz w:val="18"/>
                <w:szCs w:val="18"/>
              </w:rPr>
              <w:t xml:space="preserve">2. C.Wolf ,Dynamic Stereochemistry of Chiral Compounds-Principles and Applications, RSC ,(2007). </w:t>
            </w:r>
          </w:p>
          <w:p w:rsidR="00CB72ED" w:rsidRPr="00B96B4F" w:rsidRDefault="005803EA" w:rsidP="005803EA">
            <w:pPr>
              <w:pStyle w:val="NoSpacing"/>
              <w:rPr>
                <w:rFonts w:asciiTheme="majorHAnsi" w:hAnsiTheme="majorHAnsi" w:cs="Arial"/>
                <w:b/>
                <w:sz w:val="18"/>
                <w:szCs w:val="18"/>
              </w:rPr>
            </w:pPr>
            <w:r w:rsidRPr="005803EA">
              <w:rPr>
                <w:rFonts w:asciiTheme="majorHAnsi" w:hAnsiTheme="majorHAnsi" w:cs="Arial"/>
                <w:b/>
                <w:sz w:val="18"/>
                <w:szCs w:val="18"/>
              </w:rPr>
              <w:t xml:space="preserve">3. Lj. Došen-Mićović, Osnovi fizičke organske hemije i stereohemije, Zavod za udžbenike Beograd,(2006).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803EA">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11342F">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11342F">
              <w:rPr>
                <w:rFonts w:asciiTheme="majorHAnsi" w:hAnsiTheme="majorHAnsi" w:cs="Arial"/>
                <w:b/>
                <w:sz w:val="18"/>
                <w:szCs w:val="18"/>
              </w:rPr>
            </w:r>
            <w:r w:rsidRPr="0011342F">
              <w:rPr>
                <w:rFonts w:asciiTheme="majorHAnsi" w:hAnsiTheme="majorHAnsi" w:cs="Arial"/>
                <w:b/>
                <w:sz w:val="18"/>
                <w:szCs w:val="18"/>
              </w:rPr>
              <w:fldChar w:fldCharType="separate"/>
            </w:r>
            <w:r w:rsidR="00FB48B6" w:rsidRPr="0011342F">
              <w:rPr>
                <w:rFonts w:asciiTheme="majorHAnsi" w:hAnsiTheme="majorHAnsi" w:cs="Arial"/>
                <w:b/>
                <w:spacing w:val="215"/>
                <w:sz w:val="18"/>
                <w:szCs w:val="18"/>
              </w:rPr>
              <w:t>    </w:t>
            </w:r>
            <w:r w:rsidR="00FB48B6" w:rsidRPr="0011342F">
              <w:rPr>
                <w:rFonts w:asciiTheme="majorHAnsi" w:hAnsiTheme="majorHAnsi" w:cs="Arial"/>
                <w:b/>
                <w:spacing w:val="3"/>
                <w:sz w:val="18"/>
                <w:szCs w:val="18"/>
              </w:rPr>
              <w:t> </w:t>
            </w:r>
            <w:r w:rsidRPr="0011342F">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F97" w:rsidRDefault="00812F97">
      <w:pPr>
        <w:spacing w:line="240" w:lineRule="auto"/>
      </w:pPr>
      <w:r>
        <w:separator/>
      </w:r>
    </w:p>
  </w:endnote>
  <w:endnote w:type="continuationSeparator" w:id="0">
    <w:p w:rsidR="00812F97" w:rsidRDefault="00812F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A32860">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A32860">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A32860">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F97" w:rsidRDefault="00812F97">
      <w:pPr>
        <w:spacing w:after="0"/>
      </w:pPr>
      <w:r>
        <w:separator/>
      </w:r>
    </w:p>
  </w:footnote>
  <w:footnote w:type="continuationSeparator" w:id="0">
    <w:p w:rsidR="00812F97" w:rsidRDefault="00812F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342F"/>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03EA"/>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2F97"/>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32860"/>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456A"/>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CFC2E7-C459-44C3-B64D-49CD2135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100D-0207-4226-9114-EC43E976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2026-03-17T07:36:00Z</dcterms:created>
  <dcterms:modified xsi:type="dcterms:W3CDTF">2026-03-17T07:36:00Z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